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  <w:rtl w:val="0"/>
        </w:rPr>
        <w:t xml:space="preserve">PSPS LIT Webinar Series: Episode #1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32"/>
          <w:szCs w:val="32"/>
          <w:highlight w:val="white"/>
          <w:rtl w:val="0"/>
        </w:rPr>
        <w:t xml:space="preserve">Financial Foundations for Fellows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  <w:rtl w:val="0"/>
        </w:rPr>
        <w:t xml:space="preserve">Thursday, October 16th - 6:30 </w:t>
      </w:r>
      <w:r w:rsidDel="00000000" w:rsidR="00000000" w:rsidRPr="00000000">
        <w:rPr>
          <w:b w:val="1"/>
          <w:smallCaps w:val="1"/>
          <w:rtl w:val="0"/>
        </w:rPr>
        <w:t xml:space="preserve">pm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sz w:val="24"/>
          <w:szCs w:val="24"/>
          <w:highlight w:val="white"/>
          <w:rtl w:val="0"/>
        </w:rPr>
        <w:t xml:space="preserve"> PST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entury Gothic" w:cs="Century Gothic" w:eastAsia="Century Gothic" w:hAnsi="Century Gothic"/>
          <w:b w:val="1"/>
          <w:color w:val="373545"/>
          <w:sz w:val="24"/>
          <w:szCs w:val="24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373545"/>
          <w:sz w:val="24"/>
          <w:szCs w:val="24"/>
          <w:rtl w:val="0"/>
        </w:rPr>
        <w:t xml:space="preserve">Moderated by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373545"/>
          <w:sz w:val="24"/>
          <w:szCs w:val="24"/>
          <w:highlight w:val="white"/>
          <w:rtl w:val="0"/>
        </w:rPr>
        <w:t xml:space="preserve">Harjot S. Bhandal, MD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ffe599" w:space="0" w:sz="4" w:val="single"/>
          <w:left w:color="ffe599" w:space="0" w:sz="4" w:val="single"/>
          <w:bottom w:color="ffe599" w:space="0" w:sz="4" w:val="single"/>
          <w:right w:color="ffe599" w:space="0" w:sz="4" w:val="single"/>
          <w:insideH w:color="ffe599" w:space="0" w:sz="4" w:val="single"/>
          <w:insideV w:color="ffe599" w:space="0" w:sz="4" w:val="single"/>
        </w:tblBorders>
        <w:tblLayout w:type="fixed"/>
        <w:tblLook w:val="0600"/>
      </w:tblPr>
      <w:tblGrid>
        <w:gridCol w:w="1455"/>
        <w:gridCol w:w="4665"/>
        <w:gridCol w:w="3435"/>
        <w:tblGridChange w:id="0">
          <w:tblGrid>
            <w:gridCol w:w="1455"/>
            <w:gridCol w:w="4665"/>
            <w:gridCol w:w="3435"/>
          </w:tblGrid>
        </w:tblGridChange>
      </w:tblGrid>
      <w:tr>
        <w:trPr>
          <w:cantSplit w:val="1"/>
          <w:tblHeader w:val="0"/>
        </w:trPr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6">
            <w:pPr>
              <w:spacing w:before="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Lecture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a92ab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Presenter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3 minutes</w:t>
            </w:r>
          </w:p>
        </w:tc>
        <w:tc>
          <w:tcPr>
            <w:tcBorders>
              <w:top w:color="ffe599" w:space="0" w:sz="8" w:val="single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Welcome/Introduction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Harjot Bhandal, MD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8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Compensation Models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David Russo, DO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8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Loan Repayment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Justin Harvey, CFP</w:t>
            </w:r>
          </w:p>
        </w:tc>
      </w:tr>
      <w:tr>
        <w:trPr>
          <w:cantSplit w:val="1"/>
          <w:trHeight w:val="386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8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Personal Finance 101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Justin Harvey, CFP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8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Retirement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Justin Harvey, CFP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8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Insurance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Jacqueline Weisbein, DO</w:t>
            </w:r>
          </w:p>
        </w:tc>
      </w:tr>
      <w:tr>
        <w:trPr>
          <w:cantSplit w:val="1"/>
          <w:trHeight w:val="161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10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Q&amp;A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 Panelists</w:t>
            </w:r>
          </w:p>
        </w:tc>
      </w:tr>
      <w:tr>
        <w:trPr>
          <w:cantSplit w:val="1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1a495d"/>
              </w:rPr>
            </w:pPr>
            <w:r w:rsidDel="00000000" w:rsidR="00000000" w:rsidRPr="00000000">
              <w:rPr>
                <w:b w:val="1"/>
                <w:color w:val="1a495d"/>
                <w:rtl w:val="0"/>
              </w:rPr>
              <w:t xml:space="preserve">2 minutes</w:t>
            </w:r>
          </w:p>
        </w:tc>
        <w:tc>
          <w:tcPr>
            <w:tcBorders>
              <w:top w:color="000000" w:space="0" w:sz="0" w:val="nil"/>
              <w:left w:color="ffe599" w:space="0" w:sz="8" w:val="single"/>
              <w:bottom w:color="ffe599" w:space="0" w:sz="8" w:val="single"/>
              <w:right w:color="ffe599" w:space="0" w:sz="8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0" w:lineRule="auto"/>
              <w:ind w:left="43" w:firstLine="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Closing Remarks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Harjot Bhandal, MD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720" w:top="144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81138" cy="1481138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1481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652588" cy="13236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588" cy="132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00" w:line="240" w:lineRule="auto"/>
    </w:pPr>
    <w:tblPr>
      <w:tblStyleRowBandSize w:val="1"/>
      <w:tblStyleColBandSize w:val="1"/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afb9bb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fb9bb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pw3iZ9rwhIcbl8JWIzQ6hm9yQ==">CgMxLjA4AHIhMUUzY3lWY0dJLUJyNG9kSTlpbVpqenBvTzBUMUEtckwt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